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4F5DFC" w:rsidRPr="00D50DF0" w:rsidRDefault="00D50DF0" w:rsidP="00D50DF0">
      <w:pPr>
        <w:jc w:val="center"/>
        <w:rPr>
          <w:rFonts w:ascii="Times New Roman" w:hAnsi="Times New Roman" w:cs="Times New Roman"/>
          <w:b/>
          <w:bCs/>
          <w:sz w:val="24"/>
        </w:rPr>
      </w:pPr>
      <w:r w:rsidRPr="00D50DF0">
        <w:rPr>
          <w:rFonts w:ascii="Times New Roman" w:hAnsi="Times New Roman" w:cs="Times New Roman"/>
          <w:b/>
          <w:bCs/>
          <w:sz w:val="24"/>
        </w:rPr>
        <w:t>Supplementary Material</w:t>
      </w:r>
      <w:r w:rsidRPr="00D50DF0">
        <w:rPr>
          <w:rFonts w:ascii="Times New Roman" w:hAnsi="Times New Roman" w:cs="Times New Roman"/>
          <w:b/>
          <w:bCs/>
          <w:sz w:val="24"/>
        </w:rPr>
        <w:t>s</w:t>
      </w:r>
    </w:p>
    <w:p w:rsidR="00D50DF0" w:rsidRDefault="00D50DF0" w:rsidP="00D50DF0">
      <w:pPr>
        <w:rPr>
          <w:rFonts w:ascii="Times New Roman" w:hAnsi="Times New Roman" w:cs="Times New Roman"/>
          <w:color w:val="000000"/>
          <w:sz w:val="18"/>
          <w:szCs w:val="18"/>
        </w:rPr>
      </w:pPr>
      <w:r w:rsidRPr="00D50DF0">
        <w:rPr>
          <w:rFonts w:ascii="Times New Roman" w:eastAsia="宋体" w:hAnsi="Times New Roman" w:cs="Times New Roman"/>
          <w:noProof/>
          <w:color w:val="000000"/>
          <w:kern w:val="0"/>
          <w:sz w:val="18"/>
          <w:szCs w:val="18"/>
        </w:rPr>
        <w:drawing>
          <wp:inline distT="0" distB="0" distL="0" distR="0" wp14:anchorId="5028BBF2" wp14:editId="45BF1213">
            <wp:extent cx="5274310" cy="74549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0DF0">
        <w:rPr>
          <w:rStyle w:val="af"/>
          <w:rFonts w:ascii="Times New Roman" w:hAnsi="Times New Roman" w:cs="Times New Roman"/>
          <w:color w:val="000000"/>
          <w:sz w:val="18"/>
          <w:szCs w:val="18"/>
        </w:rPr>
        <w:t>Fig</w:t>
      </w:r>
      <w:r w:rsidRPr="00D50DF0">
        <w:rPr>
          <w:rStyle w:val="af"/>
          <w:rFonts w:ascii="Times New Roman" w:hAnsi="Times New Roman" w:cs="Times New Roman"/>
          <w:color w:val="000000"/>
          <w:sz w:val="18"/>
          <w:szCs w:val="18"/>
        </w:rPr>
        <w:t>.</w:t>
      </w:r>
      <w:r w:rsidRPr="00D50DF0">
        <w:rPr>
          <w:rStyle w:val="af"/>
          <w:rFonts w:ascii="Times New Roman" w:hAnsi="Times New Roman" w:cs="Times New Roman"/>
          <w:color w:val="000000"/>
          <w:sz w:val="18"/>
          <w:szCs w:val="18"/>
        </w:rPr>
        <w:t xml:space="preserve"> S1. Peripheral transcriptomic responses post-stroke in human datasets</w:t>
      </w:r>
      <w:r w:rsidRPr="00D50DF0">
        <w:rPr>
          <w:rStyle w:val="af"/>
          <w:rFonts w:ascii="Times New Roman" w:hAnsi="Times New Roman" w:cs="Times New Roman"/>
          <w:color w:val="000000"/>
          <w:sz w:val="18"/>
          <w:szCs w:val="18"/>
        </w:rPr>
        <w:t xml:space="preserve">. </w:t>
      </w:r>
      <w:r w:rsidRPr="00D50DF0">
        <w:rPr>
          <w:rStyle w:val="af"/>
          <w:rFonts w:ascii="Times New Roman" w:hAnsi="Times New Roman" w:cs="Times New Roman"/>
          <w:b w:val="0"/>
          <w:bCs w:val="0"/>
          <w:color w:val="000000"/>
          <w:sz w:val="18"/>
          <w:szCs w:val="18"/>
        </w:rPr>
        <w:t>(A–C)</w:t>
      </w:r>
      <w:r w:rsidRPr="00D50DF0">
        <w:rPr>
          <w:rStyle w:val="apple-converted-space"/>
          <w:rFonts w:ascii="Times New Roman" w:hAnsi="Times New Roman" w:cs="Times New Roman"/>
          <w:b/>
          <w:bCs/>
          <w:color w:val="000000"/>
          <w:sz w:val="18"/>
          <w:szCs w:val="18"/>
        </w:rPr>
        <w:t> </w:t>
      </w:r>
      <w:r w:rsidRPr="00D50DF0">
        <w:rPr>
          <w:rFonts w:ascii="Times New Roman" w:hAnsi="Times New Roman" w:cs="Times New Roman"/>
          <w:color w:val="000000"/>
          <w:sz w:val="18"/>
          <w:szCs w:val="18"/>
        </w:rPr>
        <w:t>Volcano plots showing differentially expressed genes (DEGs) at 3 h, 5 h, and 24 h post-stroke compared to controls in human datasets.</w:t>
      </w:r>
      <w:r>
        <w:rPr>
          <w:rFonts w:ascii="Times New Roman" w:hAnsi="Times New Roman" w:cs="Times New Roman"/>
          <w:color w:val="000000"/>
          <w:sz w:val="18"/>
          <w:szCs w:val="18"/>
        </w:rPr>
        <w:t xml:space="preserve"> </w:t>
      </w:r>
      <w:r w:rsidRPr="00D50DF0">
        <w:rPr>
          <w:rStyle w:val="af"/>
          <w:rFonts w:ascii="Times New Roman" w:hAnsi="Times New Roman" w:cs="Times New Roman"/>
          <w:b w:val="0"/>
          <w:bCs w:val="0"/>
          <w:color w:val="000000"/>
          <w:sz w:val="18"/>
          <w:szCs w:val="18"/>
        </w:rPr>
        <w:t>(E)</w:t>
      </w:r>
      <w:r w:rsidRPr="00D50DF0">
        <w:rPr>
          <w:rStyle w:val="apple-converted-space"/>
          <w:rFonts w:ascii="Times New Roman" w:hAnsi="Times New Roman" w:cs="Times New Roman"/>
          <w:color w:val="000000"/>
          <w:sz w:val="18"/>
          <w:szCs w:val="18"/>
        </w:rPr>
        <w:t> </w:t>
      </w:r>
      <w:r w:rsidRPr="00D50DF0">
        <w:rPr>
          <w:rFonts w:ascii="Times New Roman" w:hAnsi="Times New Roman" w:cs="Times New Roman"/>
          <w:color w:val="000000"/>
          <w:sz w:val="18"/>
          <w:szCs w:val="18"/>
        </w:rPr>
        <w:t>Functional enrichment analysis of DEGs at 3 h post-stroke, highlighting pathways related to cytokine signaling, cell adhesion, and tissue homeostasis.</w:t>
      </w:r>
      <w:r>
        <w:rPr>
          <w:rFonts w:ascii="Times New Roman" w:hAnsi="Times New Roman" w:cs="Times New Roman"/>
          <w:color w:val="000000"/>
          <w:sz w:val="18"/>
          <w:szCs w:val="18"/>
        </w:rPr>
        <w:t xml:space="preserve"> </w:t>
      </w:r>
      <w:r w:rsidRPr="00D50DF0">
        <w:rPr>
          <w:rStyle w:val="af"/>
          <w:rFonts w:ascii="Times New Roman" w:hAnsi="Times New Roman" w:cs="Times New Roman"/>
          <w:b w:val="0"/>
          <w:bCs w:val="0"/>
          <w:color w:val="000000"/>
          <w:sz w:val="18"/>
          <w:szCs w:val="18"/>
        </w:rPr>
        <w:t>(D, F)</w:t>
      </w:r>
      <w:r w:rsidRPr="00D50DF0">
        <w:rPr>
          <w:rStyle w:val="apple-converted-space"/>
          <w:rFonts w:ascii="Times New Roman" w:hAnsi="Times New Roman" w:cs="Times New Roman"/>
          <w:b/>
          <w:bCs/>
          <w:color w:val="000000"/>
          <w:sz w:val="18"/>
          <w:szCs w:val="18"/>
        </w:rPr>
        <w:t> </w:t>
      </w:r>
      <w:r w:rsidRPr="00D50DF0">
        <w:rPr>
          <w:rFonts w:ascii="Times New Roman" w:hAnsi="Times New Roman" w:cs="Times New Roman"/>
          <w:color w:val="000000"/>
          <w:sz w:val="18"/>
          <w:szCs w:val="18"/>
        </w:rPr>
        <w:t>Enrichment analysis of DEGs at 24 h post-stroke</w:t>
      </w:r>
      <w:r>
        <w:rPr>
          <w:rFonts w:ascii="Times New Roman" w:hAnsi="Times New Roman" w:cs="Times New Roman"/>
          <w:color w:val="000000"/>
          <w:sz w:val="18"/>
          <w:szCs w:val="18"/>
        </w:rPr>
        <w:t>.</w:t>
      </w:r>
    </w:p>
    <w:p w:rsidR="00D50DF0" w:rsidRPr="00D50DF0" w:rsidRDefault="00D50DF0" w:rsidP="00D50DF0">
      <w:pPr>
        <w:widowControl/>
        <w:jc w:val="left"/>
        <w:rPr>
          <w:rFonts w:ascii="Times New Roman" w:hAnsi="Times New Roman" w:cs="Times New Roman" w:hint="eastAsia"/>
          <w:color w:val="000000"/>
          <w:sz w:val="18"/>
          <w:szCs w:val="18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br w:type="page"/>
      </w:r>
    </w:p>
    <w:p w:rsidR="00D50DF0" w:rsidRPr="00D50DF0" w:rsidRDefault="00D50DF0" w:rsidP="00D50DF0">
      <w:pPr>
        <w:pStyle w:val="ae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D50DF0">
        <w:rPr>
          <w:rFonts w:ascii="Times New Roman" w:hAnsi="Times New Roman" w:cs="Times New Roman"/>
          <w:noProof/>
          <w:color w:val="000000"/>
          <w:sz w:val="18"/>
          <w:szCs w:val="18"/>
        </w:rPr>
        <w:lastRenderedPageBreak/>
        <w:drawing>
          <wp:inline distT="0" distB="0" distL="0" distR="0" wp14:anchorId="42B417F0" wp14:editId="12072D61">
            <wp:extent cx="5274310" cy="74549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DF0" w:rsidRPr="00D50DF0" w:rsidRDefault="00D50DF0" w:rsidP="00D50DF0">
      <w:pPr>
        <w:pStyle w:val="ae"/>
        <w:jc w:val="both"/>
        <w:rPr>
          <w:rFonts w:ascii="Times New Roman" w:hAnsi="Times New Roman" w:cs="Times New Roman" w:hint="eastAsia"/>
          <w:color w:val="000000"/>
          <w:sz w:val="18"/>
          <w:szCs w:val="18"/>
        </w:rPr>
      </w:pPr>
      <w:r w:rsidRPr="00D50DF0">
        <w:rPr>
          <w:rStyle w:val="af"/>
          <w:rFonts w:ascii="Times New Roman" w:hAnsi="Times New Roman" w:cs="Times New Roman"/>
          <w:color w:val="000000"/>
          <w:sz w:val="18"/>
          <w:szCs w:val="18"/>
        </w:rPr>
        <w:t>Fig</w:t>
      </w:r>
      <w:r w:rsidRPr="00D50DF0">
        <w:rPr>
          <w:rStyle w:val="af"/>
          <w:rFonts w:ascii="Times New Roman" w:hAnsi="Times New Roman" w:cs="Times New Roman"/>
          <w:color w:val="000000"/>
          <w:sz w:val="18"/>
          <w:szCs w:val="18"/>
        </w:rPr>
        <w:t>.</w:t>
      </w:r>
      <w:r w:rsidRPr="00D50DF0">
        <w:rPr>
          <w:rStyle w:val="af"/>
          <w:rFonts w:ascii="Times New Roman" w:hAnsi="Times New Roman" w:cs="Times New Roman"/>
          <w:color w:val="000000"/>
          <w:sz w:val="18"/>
          <w:szCs w:val="18"/>
        </w:rPr>
        <w:t xml:space="preserve"> S2. Gene ontology (GO) enrichment of cross-species DEGs in immune cell types</w:t>
      </w:r>
      <w:r w:rsidRPr="00D50DF0">
        <w:rPr>
          <w:rStyle w:val="af"/>
          <w:rFonts w:ascii="Times New Roman" w:hAnsi="Times New Roman" w:cs="Times New Roman"/>
          <w:color w:val="000000"/>
          <w:sz w:val="18"/>
          <w:szCs w:val="18"/>
        </w:rPr>
        <w:t>.</w:t>
      </w:r>
      <w:r w:rsidRPr="00D50DF0">
        <w:rPr>
          <w:rFonts w:ascii="Times New Roman" w:hAnsi="Times New Roman" w:cs="Times New Roman" w:hint="eastAsia"/>
          <w:color w:val="000000"/>
          <w:sz w:val="18"/>
          <w:szCs w:val="18"/>
        </w:rPr>
        <w:t xml:space="preserve"> </w:t>
      </w:r>
      <w:r w:rsidRPr="00D50DF0">
        <w:rPr>
          <w:rStyle w:val="af"/>
          <w:rFonts w:ascii="Times New Roman" w:hAnsi="Times New Roman" w:cs="Times New Roman"/>
          <w:b w:val="0"/>
          <w:bCs w:val="0"/>
          <w:color w:val="000000"/>
          <w:sz w:val="18"/>
          <w:szCs w:val="18"/>
        </w:rPr>
        <w:t>(A, B)</w:t>
      </w:r>
      <w:r w:rsidRPr="00D50DF0">
        <w:rPr>
          <w:rStyle w:val="apple-converted-space"/>
          <w:rFonts w:ascii="Times New Roman" w:hAnsi="Times New Roman" w:cs="Times New Roman"/>
          <w:color w:val="000000"/>
          <w:sz w:val="18"/>
          <w:szCs w:val="18"/>
        </w:rPr>
        <w:t> </w:t>
      </w:r>
      <w:r w:rsidRPr="00D50DF0">
        <w:rPr>
          <w:rFonts w:ascii="Times New Roman" w:hAnsi="Times New Roman" w:cs="Times New Roman"/>
          <w:color w:val="000000"/>
          <w:sz w:val="18"/>
          <w:szCs w:val="18"/>
        </w:rPr>
        <w:t>GO enrichment for myeloid cell DEGs, highlighting pathways related to chemotaxis, cell migration, and inflammation.</w:t>
      </w:r>
      <w:r w:rsidRPr="00D50DF0">
        <w:rPr>
          <w:rFonts w:ascii="Times New Roman" w:hAnsi="Times New Roman" w:cs="Times New Roman"/>
          <w:color w:val="000000"/>
          <w:sz w:val="18"/>
          <w:szCs w:val="18"/>
        </w:rPr>
        <w:t xml:space="preserve"> </w:t>
      </w:r>
      <w:r w:rsidRPr="00D50DF0">
        <w:rPr>
          <w:rStyle w:val="af"/>
          <w:rFonts w:ascii="Times New Roman" w:hAnsi="Times New Roman" w:cs="Times New Roman"/>
          <w:b w:val="0"/>
          <w:bCs w:val="0"/>
          <w:color w:val="000000"/>
          <w:sz w:val="18"/>
          <w:szCs w:val="18"/>
        </w:rPr>
        <w:t>(C, D)</w:t>
      </w:r>
      <w:r w:rsidRPr="00D50DF0">
        <w:rPr>
          <w:rStyle w:val="apple-converted-space"/>
          <w:rFonts w:ascii="Times New Roman" w:hAnsi="Times New Roman" w:cs="Times New Roman"/>
          <w:b/>
          <w:bCs/>
          <w:color w:val="000000"/>
          <w:sz w:val="18"/>
          <w:szCs w:val="18"/>
        </w:rPr>
        <w:t> </w:t>
      </w:r>
      <w:r w:rsidRPr="00D50DF0">
        <w:rPr>
          <w:rFonts w:ascii="Times New Roman" w:hAnsi="Times New Roman" w:cs="Times New Roman"/>
          <w:color w:val="000000"/>
          <w:sz w:val="18"/>
          <w:szCs w:val="18"/>
        </w:rPr>
        <w:t>GO terms enriched in megakaryocyte-specific DEGs, focusing on phagocytosis and homeostatic regulation.</w:t>
      </w:r>
      <w:r w:rsidRPr="00D50DF0">
        <w:rPr>
          <w:rFonts w:ascii="Times New Roman" w:hAnsi="Times New Roman" w:cs="Times New Roman"/>
          <w:color w:val="000000"/>
          <w:sz w:val="18"/>
          <w:szCs w:val="18"/>
        </w:rPr>
        <w:t xml:space="preserve"> </w:t>
      </w:r>
      <w:r w:rsidRPr="00D50DF0">
        <w:rPr>
          <w:rStyle w:val="af"/>
          <w:rFonts w:ascii="Times New Roman" w:hAnsi="Times New Roman" w:cs="Times New Roman"/>
          <w:b w:val="0"/>
          <w:bCs w:val="0"/>
          <w:color w:val="000000"/>
          <w:sz w:val="18"/>
          <w:szCs w:val="18"/>
        </w:rPr>
        <w:t>(E, F)</w:t>
      </w:r>
      <w:r w:rsidRPr="00D50DF0">
        <w:rPr>
          <w:rStyle w:val="apple-converted-space"/>
          <w:rFonts w:ascii="Times New Roman" w:hAnsi="Times New Roman" w:cs="Times New Roman"/>
          <w:color w:val="000000"/>
          <w:sz w:val="18"/>
          <w:szCs w:val="18"/>
        </w:rPr>
        <w:t> </w:t>
      </w:r>
      <w:r w:rsidRPr="00D50DF0">
        <w:rPr>
          <w:rFonts w:ascii="Times New Roman" w:hAnsi="Times New Roman" w:cs="Times New Roman"/>
          <w:color w:val="000000"/>
          <w:sz w:val="18"/>
          <w:szCs w:val="18"/>
        </w:rPr>
        <w:t>T-cell DEGs showed minimal functional clustering, reflecting a limited transcriptional response post-stroke.</w:t>
      </w:r>
      <w:r w:rsidRPr="00D50DF0">
        <w:rPr>
          <w:rFonts w:ascii="Times New Roman" w:hAnsi="Times New Roman" w:cs="Times New Roman"/>
          <w:color w:val="000000"/>
          <w:sz w:val="18"/>
          <w:szCs w:val="18"/>
        </w:rPr>
        <w:t xml:space="preserve"> </w:t>
      </w:r>
      <w:r w:rsidRPr="00D50DF0">
        <w:rPr>
          <w:rStyle w:val="af"/>
          <w:rFonts w:ascii="Times New Roman" w:hAnsi="Times New Roman" w:cs="Times New Roman"/>
          <w:b w:val="0"/>
          <w:bCs w:val="0"/>
          <w:color w:val="000000"/>
          <w:sz w:val="18"/>
          <w:szCs w:val="18"/>
        </w:rPr>
        <w:t>(G, H)</w:t>
      </w:r>
      <w:r w:rsidRPr="00D50DF0">
        <w:rPr>
          <w:rStyle w:val="apple-converted-space"/>
          <w:rFonts w:ascii="Times New Roman" w:hAnsi="Times New Roman" w:cs="Times New Roman"/>
          <w:color w:val="000000"/>
          <w:sz w:val="18"/>
          <w:szCs w:val="18"/>
        </w:rPr>
        <w:t> </w:t>
      </w:r>
      <w:r w:rsidRPr="00D50DF0">
        <w:rPr>
          <w:rFonts w:ascii="Times New Roman" w:hAnsi="Times New Roman" w:cs="Times New Roman"/>
          <w:color w:val="000000"/>
          <w:sz w:val="18"/>
          <w:szCs w:val="18"/>
        </w:rPr>
        <w:t>B-cell GO enrichment revealed moderate oxidative stress pathway involvement, emphasizing metabolic reprogramming.</w:t>
      </w:r>
    </w:p>
    <w:p w:rsidR="00D50DF0" w:rsidRPr="00D50DF0" w:rsidRDefault="00D50DF0" w:rsidP="00D50DF0">
      <w:pPr>
        <w:rPr>
          <w:rFonts w:ascii="Times New Roman" w:hAnsi="Times New Roman" w:cs="Times New Roman" w:hint="eastAsia"/>
          <w:sz w:val="18"/>
          <w:szCs w:val="18"/>
        </w:rPr>
      </w:pPr>
      <w:r w:rsidRPr="00D50DF0">
        <w:rPr>
          <w:rFonts w:ascii="Times New Roman" w:eastAsia="宋体" w:hAnsi="Times New Roman" w:cs="Times New Roman"/>
          <w:noProof/>
          <w:color w:val="000000"/>
          <w:kern w:val="0"/>
          <w:sz w:val="18"/>
          <w:szCs w:val="18"/>
        </w:rPr>
        <w:lastRenderedPageBreak/>
        <w:drawing>
          <wp:inline distT="0" distB="0" distL="0" distR="0" wp14:anchorId="5686AA1A" wp14:editId="07388795">
            <wp:extent cx="5274310" cy="5686236"/>
            <wp:effectExtent l="0" t="0" r="0" b="381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725"/>
                    <a:stretch/>
                  </pic:blipFill>
                  <pic:spPr bwMode="auto">
                    <a:xfrm>
                      <a:off x="0" y="0"/>
                      <a:ext cx="5274310" cy="56862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50DF0">
        <w:rPr>
          <w:rStyle w:val="af"/>
          <w:rFonts w:ascii="Times New Roman" w:hAnsi="Times New Roman" w:cs="Times New Roman"/>
          <w:color w:val="000000"/>
          <w:sz w:val="18"/>
          <w:szCs w:val="18"/>
        </w:rPr>
        <w:t>Fig</w:t>
      </w:r>
      <w:r w:rsidRPr="00D50DF0">
        <w:rPr>
          <w:rStyle w:val="af"/>
          <w:rFonts w:ascii="Times New Roman" w:hAnsi="Times New Roman" w:cs="Times New Roman"/>
          <w:color w:val="000000"/>
          <w:sz w:val="18"/>
          <w:szCs w:val="18"/>
        </w:rPr>
        <w:t>.</w:t>
      </w:r>
      <w:r w:rsidRPr="00D50DF0">
        <w:rPr>
          <w:rStyle w:val="af"/>
          <w:rFonts w:ascii="Times New Roman" w:hAnsi="Times New Roman" w:cs="Times New Roman"/>
          <w:color w:val="000000"/>
          <w:sz w:val="18"/>
          <w:szCs w:val="18"/>
        </w:rPr>
        <w:t xml:space="preserve"> S3. Quality control and cell-type annotation in ischemic brain single-cell RNA-seq data</w:t>
      </w:r>
      <w:r w:rsidRPr="00D50DF0">
        <w:rPr>
          <w:rStyle w:val="af"/>
          <w:rFonts w:ascii="Times New Roman" w:hAnsi="Times New Roman" w:cs="Times New Roman"/>
          <w:color w:val="000000"/>
          <w:sz w:val="18"/>
          <w:szCs w:val="18"/>
        </w:rPr>
        <w:t>.</w:t>
      </w:r>
      <w:r>
        <w:rPr>
          <w:rFonts w:ascii="Times New Roman" w:hAnsi="Times New Roman" w:cs="Times New Roman" w:hint="eastAsia"/>
          <w:sz w:val="18"/>
          <w:szCs w:val="18"/>
        </w:rPr>
        <w:t xml:space="preserve"> </w:t>
      </w:r>
      <w:r w:rsidRPr="00D50DF0">
        <w:rPr>
          <w:rStyle w:val="af"/>
          <w:rFonts w:ascii="Times New Roman" w:hAnsi="Times New Roman" w:cs="Times New Roman"/>
          <w:b w:val="0"/>
          <w:bCs w:val="0"/>
          <w:color w:val="000000"/>
          <w:sz w:val="18"/>
          <w:szCs w:val="18"/>
        </w:rPr>
        <w:t>(A, B)</w:t>
      </w:r>
      <w:r w:rsidRPr="00D50DF0">
        <w:rPr>
          <w:rStyle w:val="apple-converted-space"/>
          <w:rFonts w:ascii="Times New Roman" w:hAnsi="Times New Roman" w:cs="Times New Roman"/>
          <w:b/>
          <w:bCs/>
          <w:color w:val="000000"/>
          <w:sz w:val="18"/>
          <w:szCs w:val="18"/>
        </w:rPr>
        <w:t> </w:t>
      </w:r>
      <w:r w:rsidRPr="00D50DF0">
        <w:rPr>
          <w:rFonts w:ascii="Times New Roman" w:hAnsi="Times New Roman" w:cs="Times New Roman"/>
          <w:color w:val="000000"/>
          <w:sz w:val="18"/>
          <w:szCs w:val="18"/>
        </w:rPr>
        <w:t>Bar plots illustrating uniform sequencing depth (UMI counts) in dataset.</w:t>
      </w:r>
      <w:r>
        <w:rPr>
          <w:rFonts w:ascii="Times New Roman" w:hAnsi="Times New Roman" w:cs="Times New Roman"/>
          <w:color w:val="000000"/>
          <w:sz w:val="18"/>
          <w:szCs w:val="18"/>
        </w:rPr>
        <w:t xml:space="preserve"> </w:t>
      </w:r>
      <w:r w:rsidRPr="00D50DF0">
        <w:rPr>
          <w:rStyle w:val="af"/>
          <w:rFonts w:ascii="Times New Roman" w:hAnsi="Times New Roman" w:cs="Times New Roman"/>
          <w:b w:val="0"/>
          <w:bCs w:val="0"/>
          <w:color w:val="000000"/>
          <w:sz w:val="18"/>
          <w:szCs w:val="18"/>
        </w:rPr>
        <w:t>(C)</w:t>
      </w:r>
      <w:r w:rsidRPr="00D50DF0">
        <w:rPr>
          <w:rStyle w:val="apple-converted-space"/>
          <w:rFonts w:ascii="Times New Roman" w:hAnsi="Times New Roman" w:cs="Times New Roman"/>
          <w:b/>
          <w:bCs/>
          <w:color w:val="000000"/>
          <w:sz w:val="18"/>
          <w:szCs w:val="18"/>
        </w:rPr>
        <w:t> </w:t>
      </w:r>
      <w:proofErr w:type="spellStart"/>
      <w:r w:rsidRPr="00D50DF0">
        <w:rPr>
          <w:rFonts w:ascii="Times New Roman" w:hAnsi="Times New Roman" w:cs="Times New Roman"/>
          <w:color w:val="000000"/>
          <w:sz w:val="18"/>
          <w:szCs w:val="18"/>
        </w:rPr>
        <w:t>Featureplot</w:t>
      </w:r>
      <w:proofErr w:type="spellEnd"/>
      <w:r w:rsidRPr="00D50DF0">
        <w:rPr>
          <w:rFonts w:ascii="Times New Roman" w:hAnsi="Times New Roman" w:cs="Times New Roman"/>
          <w:color w:val="000000"/>
          <w:sz w:val="18"/>
          <w:szCs w:val="18"/>
        </w:rPr>
        <w:t xml:space="preserve"> plots of canonical marker gene expression confirming cell-type annotations in the dataset.</w:t>
      </w:r>
      <w:r w:rsidRPr="00D50DF0">
        <w:rPr>
          <w:rFonts w:ascii="Times New Roman" w:hAnsi="Times New Roman" w:cs="Times New Roman"/>
          <w:color w:val="000000"/>
          <w:sz w:val="18"/>
          <w:szCs w:val="18"/>
        </w:rPr>
        <w:br/>
      </w:r>
    </w:p>
    <w:sectPr w:rsidR="00D50DF0" w:rsidRPr="00D50DF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1547375"/>
    <w:multiLevelType w:val="hybridMultilevel"/>
    <w:tmpl w:val="5852A6CA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62103415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0DF0"/>
    <w:rsid w:val="004F5DFC"/>
    <w:rsid w:val="00D50DF0"/>
    <w:rsid w:val="00E471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697144F"/>
  <w15:chartTrackingRefBased/>
  <w15:docId w15:val="{33CE2706-8217-334C-A985-BF22228B68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D50DF0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50DF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unhideWhenUsed/>
    <w:qFormat/>
    <w:rsid w:val="00D50DF0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50DF0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50DF0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50DF0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50DF0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50DF0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50DF0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D50DF0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D50DF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rsid w:val="00D50DF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D50DF0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D50DF0"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D50DF0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D50DF0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D50DF0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D50DF0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D50DF0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D50DF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50DF0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D50DF0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D50DF0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D50DF0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D50DF0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D50DF0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D50DF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D50DF0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D50DF0"/>
    <w:rPr>
      <w:b/>
      <w:bCs/>
      <w:smallCaps/>
      <w:color w:val="0F4761" w:themeColor="accent1" w:themeShade="BF"/>
      <w:spacing w:val="5"/>
    </w:rPr>
  </w:style>
  <w:style w:type="paragraph" w:styleId="ae">
    <w:name w:val="Normal (Web)"/>
    <w:basedOn w:val="a"/>
    <w:uiPriority w:val="99"/>
    <w:unhideWhenUsed/>
    <w:rsid w:val="00D50DF0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character" w:styleId="af">
    <w:name w:val="Strong"/>
    <w:basedOn w:val="a0"/>
    <w:uiPriority w:val="22"/>
    <w:qFormat/>
    <w:rsid w:val="00D50DF0"/>
    <w:rPr>
      <w:b/>
      <w:bCs/>
    </w:rPr>
  </w:style>
  <w:style w:type="character" w:customStyle="1" w:styleId="apple-converted-space">
    <w:name w:val="apple-converted-space"/>
    <w:basedOn w:val="a0"/>
    <w:rsid w:val="00D50DF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192</Words>
  <Characters>1100</Characters>
  <Application>Microsoft Office Word</Application>
  <DocSecurity>0</DocSecurity>
  <Lines>9</Lines>
  <Paragraphs>2</Paragraphs>
  <ScaleCrop>false</ScaleCrop>
  <Company/>
  <LinksUpToDate>false</LinksUpToDate>
  <CharactersWithSpaces>1290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zac</dc:creator>
  <cp:keywords/>
  <dc:description/>
  <cp:lastModifiedBy>zac</cp:lastModifiedBy>
  <cp:revision>1</cp:revision>
  <dcterms:created xsi:type="dcterms:W3CDTF">2025-02-07T08:51:00Z</dcterms:created>
  <dcterms:modified xsi:type="dcterms:W3CDTF">2025-02-07T09:00:00Z</dcterms:modified>
</cp:coreProperties>
</file>